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C9E0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sz w:val="32"/>
          <w:szCs w:val="32"/>
          <w:shd w:val="clear" w:color="auto" w:fill="FFFFFF"/>
        </w:rPr>
      </w:pPr>
    </w:p>
    <w:p w14:paraId="27F9BE6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firstLine="482"/>
        <w:jc w:val="center"/>
        <w:textAlignment w:val="auto"/>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四川艺术基金大型舞台剧和作品初创资助</w:t>
      </w:r>
    </w:p>
    <w:p w14:paraId="683A967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firstLine="482"/>
        <w:jc w:val="center"/>
        <w:textAlignment w:val="auto"/>
        <w:rPr>
          <w:rStyle w:val="7"/>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shd w:val="clear" w:color="auto" w:fill="FFFFFF"/>
        </w:rPr>
        <w:t>项目经费使用细则（试行）</w:t>
      </w:r>
    </w:p>
    <w:p w14:paraId="477778C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Style w:val="7"/>
          <w:sz w:val="32"/>
          <w:szCs w:val="32"/>
        </w:rPr>
      </w:pPr>
    </w:p>
    <w:p w14:paraId="403E7D8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第一章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总则</w:t>
      </w:r>
    </w:p>
    <w:p w14:paraId="76DE615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规范和加强四川艺术基金（以下简称“艺术基金”）大型舞台剧和作品初创资助项目经费使用，提高资金使用效益，根据《中共四川省委四川省人民政府关于全面实施预算绩效管理的实施意见》《四川艺术基金章程》《四川艺术基金财务管理办法》及国家有关财务规章制度规定，制定本细则。</w:t>
      </w:r>
    </w:p>
    <w:p w14:paraId="38DD8E4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艺术基金的资金，</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来自四川省级财政拨款。</w:t>
      </w:r>
    </w:p>
    <w:p w14:paraId="60FD7B4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本细则所称项目经费，是指艺术基金用于资助大型舞台剧和作品</w:t>
      </w:r>
      <w:r>
        <w:rPr>
          <w:rFonts w:hint="eastAsia" w:ascii="仿宋_GB2312" w:hAnsi="仿宋_GB2312" w:eastAsia="仿宋_GB2312" w:cs="仿宋_GB2312"/>
          <w:sz w:val="32"/>
          <w:szCs w:val="32"/>
          <w:lang w:val="en-US" w:eastAsia="zh-CN"/>
        </w:rPr>
        <w:t>初期</w:t>
      </w:r>
      <w:r>
        <w:rPr>
          <w:rFonts w:hint="eastAsia" w:ascii="仿宋_GB2312" w:hAnsi="仿宋_GB2312" w:eastAsia="仿宋_GB2312" w:cs="仿宋_GB2312"/>
          <w:sz w:val="32"/>
          <w:szCs w:val="32"/>
        </w:rPr>
        <w:t>创作生产及完成规定场次演出活动的专项经费。</w:t>
      </w:r>
      <w:bookmarkStart w:id="0" w:name="_GoBack"/>
      <w:bookmarkEnd w:id="0"/>
    </w:p>
    <w:p w14:paraId="7D9A189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项目经费管理和使用各方应承担如下责任：</w:t>
      </w:r>
    </w:p>
    <w:p w14:paraId="55514E6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（一）四川艺术基金理事会作为艺术基金的决策机构，承担年度资助方案的审定和项目经费使用情况的审查职责。</w:t>
      </w:r>
    </w:p>
    <w:p w14:paraId="791D523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（二）四川艺术基金专家库专家承担咨询、评审、监督等相关职责。</w:t>
      </w:r>
    </w:p>
    <w:p w14:paraId="0B5CC759">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艺术基金中心和各市州文旅局作为艺术基金管理和组织实施单位，承担对申报实施项目的政治导向管理、项目质量管理和经费使用的直接监督指导责任。</w:t>
      </w:r>
    </w:p>
    <w:p w14:paraId="557AF63A">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（四）项目主体按照“谁申报谁负责、谁实施谁负责”的原则，承担对申报实施项目的政治导向管理、项目质量管理和经费使用的主体责任。</w:t>
      </w:r>
    </w:p>
    <w:p w14:paraId="36F7272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Style w:val="7"/>
          <w:rFonts w:hint="eastAsia" w:ascii="仿宋_GB2312" w:hAnsi="仿宋_GB2312" w:eastAsia="仿宋_GB2312" w:cs="仿宋_GB2312"/>
          <w:sz w:val="32"/>
          <w:szCs w:val="32"/>
        </w:rPr>
        <w:t>第五条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大型舞台剧和作品初创资助项目实行匹配资助。</w:t>
      </w:r>
    </w:p>
    <w:p w14:paraId="360DBCA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对于立项资助项目，成本补偿额度</w:t>
      </w:r>
      <w:r>
        <w:rPr>
          <w:rFonts w:hint="eastAsia" w:ascii="仿宋_GB2312" w:hAnsi="仿宋_GB2312" w:eastAsia="仿宋_GB2312" w:cs="仿宋_GB2312"/>
          <w:kern w:val="0"/>
          <w:sz w:val="32"/>
          <w:szCs w:val="32"/>
          <w:lang w:val="en-US" w:eastAsia="zh-CN"/>
        </w:rPr>
        <w:t>原则上</w:t>
      </w:r>
      <w:r>
        <w:rPr>
          <w:rFonts w:hint="eastAsia" w:ascii="仿宋_GB2312" w:hAnsi="仿宋_GB2312" w:eastAsia="仿宋_GB2312" w:cs="仿宋_GB2312"/>
          <w:kern w:val="0"/>
          <w:sz w:val="32"/>
          <w:szCs w:val="32"/>
        </w:rPr>
        <w:t>不高于项目核定总成本预算额度的50％。</w:t>
      </w:r>
    </w:p>
    <w:p w14:paraId="7D13581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项目主体申报时须提供已落实经费与资源配套证明，如银行存款证明、贷款协议或贷款意向函、与资金提供单位的合作意向书、政府有关部门的文件证明等。</w:t>
      </w:r>
    </w:p>
    <w:p w14:paraId="5303C4B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项目经费管理和使用执行如下原则：</w:t>
      </w:r>
    </w:p>
    <w:p w14:paraId="41D929D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（一）科学安排，合理配置。项目主体应严格按照项目的实施计划和目标任务，科学合理地编制和安排预算。严格会议、差旅、培训等预算管理，控制相关支出规模。</w:t>
      </w:r>
    </w:p>
    <w:p w14:paraId="2A8809A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（二）权责明确，讲求绩效。项目经费管理各方应权责明确，各负其责，加强对项目经费全过程绩效管理，提高资金使用效益。</w:t>
      </w:r>
    </w:p>
    <w:p w14:paraId="3D308E13">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（三）单独核算，专款专用。项目经费应当纳入项目主体财务，统一管理，单独核算，确保专款专用。</w:t>
      </w:r>
    </w:p>
    <w:p w14:paraId="36FA83ED">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（四）一次核定，分期支付。项目经费根据项目类型、艺术门类的创作规律及实际情况，按程序一次核定，按70％、30％的比例分立项款、结项款两批次支付经费。</w:t>
      </w:r>
    </w:p>
    <w:p w14:paraId="15C211F5">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Style w:val="7"/>
          <w:rFonts w:hint="eastAsia" w:ascii="仿宋_GB2312" w:hAnsi="仿宋_GB2312" w:eastAsia="仿宋_GB2312" w:cs="仿宋_GB2312"/>
          <w:b w:val="0"/>
          <w:bCs w:val="0"/>
          <w:sz w:val="32"/>
          <w:szCs w:val="32"/>
        </w:rPr>
      </w:pPr>
    </w:p>
    <w:p w14:paraId="6F023D67">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第二章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项目经费开支范围</w:t>
      </w:r>
    </w:p>
    <w:p w14:paraId="14AD9A91">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项目经费支出是指与项目组织实施活动相关的、由项目资金支付的各项费用支出。项目经费分为直接费用和间接费用。</w:t>
      </w:r>
    </w:p>
    <w:p w14:paraId="571ED62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直接费用是指在项目实施过程中发生的与之直接相关的费用，包括创作费、制作费、排练演出费三个一级科目。</w:t>
      </w:r>
    </w:p>
    <w:p w14:paraId="30A8561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创作费是指在大型舞台剧和作品初创过程中发生的各项费用。包括</w:t>
      </w:r>
      <w:r>
        <w:rPr>
          <w:rFonts w:hint="eastAsia" w:ascii="仿宋_GB2312" w:hAnsi="仿宋_GB2312" w:eastAsia="仿宋_GB2312" w:cs="仿宋_GB2312"/>
          <w:sz w:val="32"/>
          <w:szCs w:val="32"/>
          <w:lang w:eastAsia="zh-CN"/>
        </w:rPr>
        <w:t>：</w:t>
      </w:r>
    </w:p>
    <w:p w14:paraId="5E5997D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（一）编剧（含改编移植）费：指编剧进行剧本创作、改编、移植的费用；</w:t>
      </w:r>
    </w:p>
    <w:p w14:paraId="5709D19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（二）作曲（含编曲、唱腔设计）费：指作曲家对舞台演出中的音乐进行乐谱编排或有组织化的音响设计创作的费用；</w:t>
      </w:r>
    </w:p>
    <w:p w14:paraId="19B09F1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（三）导演（含编导、指挥）费：指导演、音乐及舞蹈编导、乐队指挥将剧本、曲谱、设计图内容转化为舞台形象，并编排形成完整舞台演出的费用；</w:t>
      </w:r>
    </w:p>
    <w:p w14:paraId="497A084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（四）舞台美术设计费：指置景、灯光、音响、服装、道具、化妆以及多媒体视觉等所有舞台景观呈现过程中发生的设计费用；</w:t>
      </w:r>
    </w:p>
    <w:p w14:paraId="5177A79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（五）表演创作费：指演员塑造舞台艺术形象，进行审美意象创造的费用；</w:t>
      </w:r>
    </w:p>
    <w:p w14:paraId="3D0EE47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（六）前期论证费：指演出主创、专家在制作前对剧本、导演阐述、舞台构思等重要内容进行论证的费用；</w:t>
      </w:r>
    </w:p>
    <w:p w14:paraId="37196D1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（七）后期修改费：指首演结束后组织专家针对剧目演出具体细节元素进行研讨和加工修改提高的费用。</w:t>
      </w:r>
    </w:p>
    <w:p w14:paraId="45C41F4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制作费是指在大型舞台剧和作品初创过程中发生的各项费用。包括：</w:t>
      </w:r>
    </w:p>
    <w:p w14:paraId="5554212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（一）舞台美术制作费：指置景、灯光、音响、服装、道具、化妆以及多媒体视觉等所有舞台景观呈现过程中发生的设备租用与制作费用；</w:t>
      </w:r>
    </w:p>
    <w:p w14:paraId="2C5585B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（二）音乐制作费：指音乐素材采集、编配、制作、合成（录音、乐队演奏、录音棚租用及合成、混音、MIDI小样制作等）费用。</w:t>
      </w:r>
    </w:p>
    <w:p w14:paraId="63E5E77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排练演出费是指在</w:t>
      </w:r>
      <w:r>
        <w:rPr>
          <w:rFonts w:hint="eastAsia" w:ascii="仿宋_GB2312" w:hAnsi="仿宋_GB2312" w:eastAsia="仿宋_GB2312" w:cs="仿宋_GB2312"/>
          <w:sz w:val="32"/>
          <w:szCs w:val="32"/>
          <w:lang w:val="en-US" w:eastAsia="zh-CN"/>
        </w:rPr>
        <w:t>初创</w:t>
      </w:r>
      <w:r>
        <w:rPr>
          <w:rFonts w:hint="eastAsia" w:ascii="仿宋_GB2312" w:hAnsi="仿宋_GB2312" w:eastAsia="仿宋_GB2312" w:cs="仿宋_GB2312"/>
          <w:sz w:val="32"/>
          <w:szCs w:val="32"/>
        </w:rPr>
        <w:t>大型舞台剧和作品排练演出过程中发生的各项费用。包括：</w:t>
      </w:r>
    </w:p>
    <w:p w14:paraId="7DBB785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（一）租赁费：指排练演出期间所需要的租赁费用，如场地、器材、设备、服装、道具等；</w:t>
      </w:r>
    </w:p>
    <w:p w14:paraId="73E4B3A1">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（二）运输费：指舞台设备在进、出剧场期间的运输费用和运输过程中发生的保险费用；</w:t>
      </w:r>
    </w:p>
    <w:p w14:paraId="40D86279">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（三）差旅费：指排练演出期间发生的相关人员的城市间飞机、火车、轮船或租用车辆的费用、市内交通费、住宿费和伙食费；</w:t>
      </w:r>
    </w:p>
    <w:p w14:paraId="780C811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（四）宣传费：指剧本、导演手记等资料印刷出版以及海报、宣传册、媒体报道等宣传活动的费用；</w:t>
      </w:r>
    </w:p>
    <w:p w14:paraId="44774D7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（五）录音录像费：指排练演出期间发生的录音、录像以及后期剪辑、音像成品制作等费用。</w:t>
      </w:r>
    </w:p>
    <w:p w14:paraId="72902DB6">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直接费用下各科目应在相应的标准内支出，实行分科目控制。</w:t>
      </w:r>
    </w:p>
    <w:p w14:paraId="174FE8A8">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间接费用是指项目主体在组织实施项目过程中发生的无法在直接费用中列支的相关费用。用于项目实施所产生的相关税费、专项审计费用等。</w:t>
      </w:r>
    </w:p>
    <w:p w14:paraId="3957841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间接费用实行总额控制，不得超过资助资金总额的5％。</w:t>
      </w:r>
    </w:p>
    <w:p w14:paraId="26CDF3F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34CA33B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第三章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项目经费预算编制和支付</w:t>
      </w:r>
    </w:p>
    <w:p w14:paraId="226E33F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14:paraId="55C44646">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经费预算编制应坚持目标相关性、政策相符性和支出合理性原则，由项目主体财务部门与业务部门共同编制。</w:t>
      </w:r>
    </w:p>
    <w:p w14:paraId="4B5AAE55">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艺术基金中心组织专家综合艺术门类、规模体量、主题题材、成本投入等因素，对申报项目预算进行核定，提出建议资助金额，报四川艺术基金理事会审议和四川省文化和旅游厅审定。</w:t>
      </w:r>
    </w:p>
    <w:p w14:paraId="49E3D578">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项目主体应根据批复后的资助金额调整项目预算方案，并与四川省艺术基金中心签定《四川艺术基金资助项目协议书》。</w:t>
      </w:r>
    </w:p>
    <w:p w14:paraId="3F4B774B">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第十九条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四川省艺术基金中心与项目主体签定《四川艺术基金资助项目协议书》后，支付立项经费。结合项目监督和结项验收情况，支付项目后续经费。项目经费的支付按照国库集中支付制度有关规定执行。</w:t>
      </w:r>
    </w:p>
    <w:p w14:paraId="30DDD3D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65C64D4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第四章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项目经费管理与监督</w:t>
      </w:r>
    </w:p>
    <w:p w14:paraId="12A91A7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项目主体须严格按照预算执行。各科目支出额度，一般不予调整，确需调整的严格履行相关程序。</w:t>
      </w:r>
    </w:p>
    <w:p w14:paraId="4362750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（一）科目限额内的预算调整，履行备案程序；</w:t>
      </w:r>
    </w:p>
    <w:p w14:paraId="6F64A72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（二）科目限额外的预算调整，应按程序报四川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艺术基金中心，由</w:t>
      </w:r>
      <w:r>
        <w:rPr>
          <w:rFonts w:hint="eastAsia" w:ascii="仿宋_GB2312" w:hAnsi="仿宋_GB2312" w:eastAsia="仿宋_GB2312" w:cs="仿宋_GB2312"/>
          <w:sz w:val="32"/>
          <w:szCs w:val="32"/>
          <w:lang w:val="en-US" w:eastAsia="zh-CN"/>
        </w:rPr>
        <w:t>省艺术基金</w:t>
      </w:r>
      <w:r>
        <w:rPr>
          <w:rFonts w:hint="eastAsia" w:ascii="仿宋_GB2312" w:hAnsi="仿宋_GB2312" w:eastAsia="仿宋_GB2312" w:cs="仿宋_GB2312"/>
          <w:sz w:val="32"/>
          <w:szCs w:val="32"/>
        </w:rPr>
        <w:t>中心组织专家予以核定。</w:t>
      </w:r>
    </w:p>
    <w:p w14:paraId="6F0E53C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第二十一条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项目经费支出过程中，属于政府采购范围的，按照政府采购有关法律法规和制度规定执行。对于交通费、住宿费等国家已出台相关支出标准的，参照国家规定的标准执行。</w:t>
      </w:r>
    </w:p>
    <w:p w14:paraId="321D90F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第二十二条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项目经费不得用于支付各种罚款、捐款、赞助、投资等支出，不得用于项目主体行政事务管理工作支出，不得用于国家规定禁止列支的其他支出。</w:t>
      </w:r>
    </w:p>
    <w:p w14:paraId="0A57ABF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第二十三条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项目实施期间，项目主体应定期将项目预算执行情况报送四川省艺术基金中心。</w:t>
      </w:r>
    </w:p>
    <w:p w14:paraId="624914E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第二十四条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项目完成后，项目主体应根据四川省艺术基金中心结项验收有关规定，编报项目结项材料。</w:t>
      </w:r>
    </w:p>
    <w:p w14:paraId="7E5ACEB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第二十五条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项目通过结项验收后，尚未用完的经费，应按原渠道退回，退回资金按照财政部关于结余资金管理的有关规定执行。</w:t>
      </w:r>
    </w:p>
    <w:p w14:paraId="4ECA2056">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第二十六条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四川省艺术基金中心对违反本细则及四川艺术基金其他有关管理规定的项目主体，视情节轻重分别采取书面警告、通报批评、停止拨款、撤销项目、追回全部已拨经费、暂停或取消申报资格等处理措施。</w:t>
      </w:r>
    </w:p>
    <w:p w14:paraId="5EBC6F40">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有下列情形之一的，报四川艺术基金理事会批准后追回已拨经费，并取消项目主体三年以上申报资格，涉嫌违法违纪的，移交有关部门处理。</w:t>
      </w:r>
    </w:p>
    <w:p w14:paraId="4BEF4460">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（一）项目内容及实施过程中出现政治导向问题；</w:t>
      </w:r>
    </w:p>
    <w:p w14:paraId="7737DD08">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（二）严重违反财务会计制度规定；</w:t>
      </w:r>
    </w:p>
    <w:p w14:paraId="69AFECB5">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（三）截留、挪用、侵占、套取项目经费；</w:t>
      </w:r>
    </w:p>
    <w:p w14:paraId="7383AAC2">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（四）拒不配合四川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艺术基金中心项目管理工作；</w:t>
      </w:r>
    </w:p>
    <w:p w14:paraId="51FF0AC9">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（五）其他违反国家法律、法规及党规党纪的事项。</w:t>
      </w:r>
    </w:p>
    <w:p w14:paraId="2175AE9C">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第二十七条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艺术基金中心按年度检查项目经费的管理和使用情况，项目主体应当积极配合，如实反映情况，提供相关材料。</w:t>
      </w:r>
    </w:p>
    <w:p w14:paraId="5D01FB8D">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第二十八条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组织对项目实施全过程预算绩效管理，开展绩效运行监控，结合项目监督和结项验收情况，对项目实施绩效自评和重点绩效评价，加强绩效评价结果反馈应用，定期向文化和旅游厅、财政厅和四川艺术基金理事会报送当年资助项目经费使用、决算情况与绩效目标实现情况，并向社会公告。</w:t>
      </w:r>
    </w:p>
    <w:p w14:paraId="3688BA93">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5A778A35">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第五章  附则</w:t>
      </w:r>
    </w:p>
    <w:p w14:paraId="4F421A68">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第二十九条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本细则由四川省艺术基金中心负责解释。</w:t>
      </w:r>
    </w:p>
    <w:p w14:paraId="6C1ABD0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第三十条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本细则自发布之日起试行。</w:t>
      </w:r>
    </w:p>
    <w:sectPr>
      <w:footerReference r:id="rId3" w:type="default"/>
      <w:pgSz w:w="11906" w:h="16838"/>
      <w:pgMar w:top="215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FA38FF-C4BC-4B17-A1ED-2A0C7F8E63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7BA6AE9-4528-4B79-B77F-3F433E7AA989}"/>
  </w:font>
  <w:font w:name="仿宋_GB2312">
    <w:panose1 w:val="02010609030101010101"/>
    <w:charset w:val="86"/>
    <w:family w:val="auto"/>
    <w:pitch w:val="default"/>
    <w:sig w:usb0="00000001" w:usb1="080E0000" w:usb2="00000000" w:usb3="00000000" w:csb0="00040000" w:csb1="00000000"/>
    <w:embedRegular r:id="rId3" w:fontKey="{C036F299-4683-41E5-A574-B0CB98CE416F}"/>
  </w:font>
  <w:font w:name="方正小标宋简体">
    <w:panose1 w:val="02000000000000000000"/>
    <w:charset w:val="86"/>
    <w:family w:val="auto"/>
    <w:pitch w:val="default"/>
    <w:sig w:usb0="00000001" w:usb1="08000000" w:usb2="00000000" w:usb3="00000000" w:csb0="00040000" w:csb1="00000000"/>
    <w:embedRegular r:id="rId4" w:fontKey="{76D20BFF-C120-43DB-A8BC-8D621A8031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AE4E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83085">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B83085">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F1"/>
    <w:rsid w:val="000144AD"/>
    <w:rsid w:val="00056818"/>
    <w:rsid w:val="00160061"/>
    <w:rsid w:val="001D39F9"/>
    <w:rsid w:val="00297A15"/>
    <w:rsid w:val="00350EBC"/>
    <w:rsid w:val="003D7853"/>
    <w:rsid w:val="00475DD4"/>
    <w:rsid w:val="005043E2"/>
    <w:rsid w:val="0051651A"/>
    <w:rsid w:val="005B2088"/>
    <w:rsid w:val="00614ADC"/>
    <w:rsid w:val="006864ED"/>
    <w:rsid w:val="006B72A5"/>
    <w:rsid w:val="006F1DBC"/>
    <w:rsid w:val="00721879"/>
    <w:rsid w:val="00800CA1"/>
    <w:rsid w:val="00817ABB"/>
    <w:rsid w:val="008E4780"/>
    <w:rsid w:val="009327F1"/>
    <w:rsid w:val="00A44172"/>
    <w:rsid w:val="00A94250"/>
    <w:rsid w:val="00AA7302"/>
    <w:rsid w:val="00AE75EF"/>
    <w:rsid w:val="00B842F1"/>
    <w:rsid w:val="00BA0B6B"/>
    <w:rsid w:val="00BA2102"/>
    <w:rsid w:val="00C00D9F"/>
    <w:rsid w:val="00C33E31"/>
    <w:rsid w:val="00D05D0F"/>
    <w:rsid w:val="00E71AC5"/>
    <w:rsid w:val="00F2741C"/>
    <w:rsid w:val="01A544B3"/>
    <w:rsid w:val="01D51DA2"/>
    <w:rsid w:val="024535A0"/>
    <w:rsid w:val="02F92BEC"/>
    <w:rsid w:val="0334789D"/>
    <w:rsid w:val="06754465"/>
    <w:rsid w:val="06D55C27"/>
    <w:rsid w:val="0AB62D7C"/>
    <w:rsid w:val="0AD06675"/>
    <w:rsid w:val="0C2F779B"/>
    <w:rsid w:val="0C352FD3"/>
    <w:rsid w:val="0CC92134"/>
    <w:rsid w:val="0DD4438A"/>
    <w:rsid w:val="0F505749"/>
    <w:rsid w:val="11EE77B0"/>
    <w:rsid w:val="174D4F79"/>
    <w:rsid w:val="17862B6C"/>
    <w:rsid w:val="18073A36"/>
    <w:rsid w:val="18BD0C86"/>
    <w:rsid w:val="19341F4D"/>
    <w:rsid w:val="19842934"/>
    <w:rsid w:val="19CA465F"/>
    <w:rsid w:val="1E650894"/>
    <w:rsid w:val="1EE95587"/>
    <w:rsid w:val="1F362114"/>
    <w:rsid w:val="21455725"/>
    <w:rsid w:val="22EE38F2"/>
    <w:rsid w:val="23E266B9"/>
    <w:rsid w:val="257221C0"/>
    <w:rsid w:val="25F65079"/>
    <w:rsid w:val="26B91CE3"/>
    <w:rsid w:val="274B1C5D"/>
    <w:rsid w:val="29B13B22"/>
    <w:rsid w:val="29EF7B98"/>
    <w:rsid w:val="2AF439F5"/>
    <w:rsid w:val="2B250F95"/>
    <w:rsid w:val="2BE80201"/>
    <w:rsid w:val="2ED26038"/>
    <w:rsid w:val="33995376"/>
    <w:rsid w:val="35AF70D3"/>
    <w:rsid w:val="3BC136BC"/>
    <w:rsid w:val="3E2A07D3"/>
    <w:rsid w:val="3EBE2135"/>
    <w:rsid w:val="3EDA10B6"/>
    <w:rsid w:val="400C57E3"/>
    <w:rsid w:val="42192421"/>
    <w:rsid w:val="43350959"/>
    <w:rsid w:val="44093E52"/>
    <w:rsid w:val="448714FC"/>
    <w:rsid w:val="471C5C4A"/>
    <w:rsid w:val="4BF929FE"/>
    <w:rsid w:val="4D2A2D86"/>
    <w:rsid w:val="4F9071D6"/>
    <w:rsid w:val="51AE1F63"/>
    <w:rsid w:val="58557801"/>
    <w:rsid w:val="5FFF5CB2"/>
    <w:rsid w:val="611115BB"/>
    <w:rsid w:val="62600C89"/>
    <w:rsid w:val="633C04EB"/>
    <w:rsid w:val="639853EB"/>
    <w:rsid w:val="65E72B88"/>
    <w:rsid w:val="6A333127"/>
    <w:rsid w:val="6B96571C"/>
    <w:rsid w:val="6C5A2BED"/>
    <w:rsid w:val="6C6E6699"/>
    <w:rsid w:val="6EB505AF"/>
    <w:rsid w:val="70B775EF"/>
    <w:rsid w:val="73BF2A14"/>
    <w:rsid w:val="76C03C65"/>
    <w:rsid w:val="77C57CF0"/>
    <w:rsid w:val="791F31F5"/>
    <w:rsid w:val="7A0845A4"/>
    <w:rsid w:val="7CCF0A8E"/>
    <w:rsid w:val="7CE001D7"/>
    <w:rsid w:val="7D4476CE"/>
    <w:rsid w:val="7E6D055E"/>
    <w:rsid w:val="7E73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3211</Words>
  <Characters>3217</Characters>
  <Lines>24</Lines>
  <Paragraphs>6</Paragraphs>
  <TotalTime>24</TotalTime>
  <ScaleCrop>false</ScaleCrop>
  <LinksUpToDate>false</LinksUpToDate>
  <CharactersWithSpaces>3253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2022-08-30T06:56:00Z</dcterms:created>
  <dc:creator>ASUS</dc:creator>
  <cp:lastModifiedBy>走走</cp:lastModifiedBy>
  <dcterms:modified xsi:type="dcterms:W3CDTF">2025-08-27T07:22:59Z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eyJoZGlkIjoiNTIyN2Q1ZGQ1ZTg2OGI3ODIyY2IxNzg1ZTg4MDRiYmYiLCJ1c2VySWQiOiI0MTcwMjM4MTYifQ==</vt:lpwstr>
  </property>
  <property fmtid="{D5CDD505-2E9C-101B-9397-08002B2CF9AE}" pid="4" name="ICV">
    <vt:lpwstr>4C20D55397B0442AB364F94B5A5AA3C6_13</vt:lpwstr>
  </property>
</Properties>
</file>